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F381" w14:textId="77777777" w:rsidR="006037AF" w:rsidRPr="008553B1" w:rsidRDefault="00ED7B42" w:rsidP="006037AF">
      <w:pPr>
        <w:jc w:val="center"/>
        <w:rPr>
          <w:rFonts w:eastAsia="Calibri" w:cstheme="minorHAnsi"/>
          <w:b/>
          <w:u w:val="single"/>
        </w:rPr>
      </w:pPr>
      <w:bookmarkStart w:id="0" w:name="_GoBack"/>
      <w:bookmarkEnd w:id="0"/>
      <w:r w:rsidRPr="008553B1">
        <w:rPr>
          <w:rFonts w:cstheme="minorHAnsi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D32FDA2" wp14:editId="283938D3">
            <wp:simplePos x="1163320" y="914400"/>
            <wp:positionH relativeFrom="margin">
              <wp:align>left</wp:align>
            </wp:positionH>
            <wp:positionV relativeFrom="margin">
              <wp:align>top</wp:align>
            </wp:positionV>
            <wp:extent cx="1638935" cy="772160"/>
            <wp:effectExtent l="0" t="0" r="0" b="0"/>
            <wp:wrapSquare wrapText="bothSides"/>
            <wp:docPr id="5" name="Picture 5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t="15335" r="11348"/>
                    <a:stretch/>
                  </pic:blipFill>
                  <pic:spPr bwMode="auto">
                    <a:xfrm>
                      <a:off x="0" y="0"/>
                      <a:ext cx="1661553" cy="78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3B1">
        <w:rPr>
          <w:rFonts w:cstheme="minorHAnsi"/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3645B72B" wp14:editId="2B90AF29">
            <wp:simplePos x="0" y="0"/>
            <wp:positionH relativeFrom="margin">
              <wp:posOffset>3329305</wp:posOffset>
            </wp:positionH>
            <wp:positionV relativeFrom="margin">
              <wp:posOffset>0</wp:posOffset>
            </wp:positionV>
            <wp:extent cx="2616200" cy="6470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8" t="41582" r="23568" b="39473"/>
                    <a:stretch/>
                  </pic:blipFill>
                  <pic:spPr bwMode="auto">
                    <a:xfrm>
                      <a:off x="0" y="0"/>
                      <a:ext cx="26162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179C4A" w14:textId="77777777" w:rsidR="006037AF" w:rsidRPr="008553B1" w:rsidRDefault="006037AF" w:rsidP="006037AF">
      <w:pPr>
        <w:jc w:val="center"/>
        <w:rPr>
          <w:rFonts w:eastAsia="Calibri" w:cstheme="minorHAnsi"/>
          <w:b/>
          <w:u w:val="single"/>
        </w:rPr>
      </w:pPr>
    </w:p>
    <w:p w14:paraId="4CD3A976" w14:textId="77777777" w:rsidR="006037AF" w:rsidRPr="008553B1" w:rsidRDefault="006037AF" w:rsidP="00ED7B42">
      <w:pPr>
        <w:rPr>
          <w:rFonts w:eastAsia="Calibri" w:cstheme="minorHAnsi"/>
          <w:b/>
          <w:u w:val="single"/>
        </w:rPr>
      </w:pPr>
    </w:p>
    <w:p w14:paraId="6F18E0E4" w14:textId="77777777" w:rsidR="007864EE" w:rsidRPr="008553B1" w:rsidRDefault="007864EE" w:rsidP="007864EE">
      <w:pPr>
        <w:jc w:val="center"/>
        <w:rPr>
          <w:rFonts w:eastAsia="Calibri" w:cstheme="minorHAnsi"/>
          <w:b/>
          <w:bCs/>
          <w:i/>
        </w:rPr>
      </w:pPr>
      <w:r w:rsidRPr="008553B1">
        <w:rPr>
          <w:rFonts w:eastAsia="Calibri" w:cstheme="minorHAnsi"/>
          <w:b/>
          <w:bCs/>
          <w:i/>
        </w:rPr>
        <w:t>Looking back, looking forward</w:t>
      </w:r>
    </w:p>
    <w:p w14:paraId="2878808B" w14:textId="77777777" w:rsidR="007864EE" w:rsidRPr="008553B1" w:rsidRDefault="007864EE" w:rsidP="007864EE">
      <w:pPr>
        <w:jc w:val="center"/>
        <w:rPr>
          <w:rFonts w:eastAsia="Calibri" w:cstheme="minorHAnsi"/>
          <w:bCs/>
          <w:i/>
        </w:rPr>
      </w:pPr>
      <w:r w:rsidRPr="008553B1">
        <w:rPr>
          <w:rFonts w:eastAsia="Calibri" w:cstheme="minorHAnsi"/>
          <w:bCs/>
          <w:i/>
        </w:rPr>
        <w:t>Consultation on the Mandate of the Special Rapporteur on the sale and sexual exploitation of children, including child prostitution, child pornography and other child sexual abuse material</w:t>
      </w:r>
    </w:p>
    <w:p w14:paraId="31E815C3" w14:textId="77777777" w:rsidR="006037AF" w:rsidRPr="008553B1" w:rsidRDefault="000D5703" w:rsidP="00195AB1">
      <w:pPr>
        <w:jc w:val="both"/>
        <w:rPr>
          <w:rFonts w:cstheme="minorHAnsi"/>
        </w:rPr>
      </w:pPr>
      <w:r w:rsidRPr="008553B1">
        <w:rPr>
          <w:rFonts w:cstheme="minorHAnsi"/>
          <w:b/>
        </w:rPr>
        <w:t>Description</w:t>
      </w:r>
      <w:r w:rsidRPr="008553B1">
        <w:rPr>
          <w:rFonts w:cstheme="minorHAnsi"/>
        </w:rPr>
        <w:t xml:space="preserve">: </w:t>
      </w:r>
      <w:r w:rsidR="00494AA9" w:rsidRPr="008553B1">
        <w:rPr>
          <w:rFonts w:cstheme="minorHAnsi"/>
        </w:rPr>
        <w:t>The two</w:t>
      </w:r>
      <w:r w:rsidR="006037AF" w:rsidRPr="008553B1">
        <w:rPr>
          <w:rFonts w:cstheme="minorHAnsi"/>
        </w:rPr>
        <w:t>-day consultation will offer a platform for debate and open dialogue to exchange experiences, challenges, good practices, lessons learned, and recommendations as to what are the priorities and</w:t>
      </w:r>
      <w:r w:rsidR="007864EE" w:rsidRPr="008553B1">
        <w:rPr>
          <w:rFonts w:cstheme="minorHAnsi"/>
        </w:rPr>
        <w:t xml:space="preserve"> </w:t>
      </w:r>
      <w:r w:rsidR="006037AF" w:rsidRPr="008553B1">
        <w:rPr>
          <w:rFonts w:cstheme="minorHAnsi"/>
        </w:rPr>
        <w:t xml:space="preserve">neglected issues requiring urgent attention by </w:t>
      </w:r>
      <w:r w:rsidR="007864EE" w:rsidRPr="008553B1">
        <w:rPr>
          <w:rFonts w:cstheme="minorHAnsi"/>
        </w:rPr>
        <w:t xml:space="preserve">States, intergovernmental </w:t>
      </w:r>
      <w:proofErr w:type="spellStart"/>
      <w:r w:rsidR="007864EE" w:rsidRPr="008553B1">
        <w:rPr>
          <w:rFonts w:cstheme="minorHAnsi"/>
        </w:rPr>
        <w:t>organisations</w:t>
      </w:r>
      <w:proofErr w:type="spellEnd"/>
      <w:r w:rsidR="007864EE" w:rsidRPr="008553B1">
        <w:rPr>
          <w:rFonts w:cstheme="minorHAnsi"/>
        </w:rPr>
        <w:t xml:space="preserve">, and other representatives of the international community </w:t>
      </w:r>
      <w:r w:rsidR="004C009B" w:rsidRPr="008553B1">
        <w:rPr>
          <w:rFonts w:cstheme="minorHAnsi"/>
        </w:rPr>
        <w:t>for the S</w:t>
      </w:r>
      <w:r w:rsidR="00494AA9" w:rsidRPr="008553B1">
        <w:rPr>
          <w:rFonts w:cstheme="minorHAnsi"/>
        </w:rPr>
        <w:t xml:space="preserve">pecial </w:t>
      </w:r>
      <w:r w:rsidR="004C009B" w:rsidRPr="008553B1">
        <w:rPr>
          <w:rFonts w:cstheme="minorHAnsi"/>
        </w:rPr>
        <w:t>R</w:t>
      </w:r>
      <w:r w:rsidR="00494AA9" w:rsidRPr="008553B1">
        <w:rPr>
          <w:rFonts w:cstheme="minorHAnsi"/>
        </w:rPr>
        <w:t>apporteur</w:t>
      </w:r>
      <w:r w:rsidR="004C009B" w:rsidRPr="008553B1">
        <w:rPr>
          <w:rFonts w:cstheme="minorHAnsi"/>
        </w:rPr>
        <w:t>’s attention.</w:t>
      </w:r>
    </w:p>
    <w:p w14:paraId="2F979556" w14:textId="77777777" w:rsidR="006037AF" w:rsidRPr="008553B1" w:rsidRDefault="006037AF" w:rsidP="00195AB1">
      <w:pPr>
        <w:rPr>
          <w:rFonts w:cstheme="minorHAnsi"/>
        </w:rPr>
      </w:pPr>
    </w:p>
    <w:tbl>
      <w:tblPr>
        <w:tblpPr w:leftFromText="180" w:rightFromText="180" w:vertAnchor="text" w:tblpY="1"/>
        <w:tblOverlap w:val="never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790"/>
        <w:gridCol w:w="3485"/>
        <w:gridCol w:w="2768"/>
        <w:gridCol w:w="2102"/>
      </w:tblGrid>
      <w:tr w:rsidR="00181388" w:rsidRPr="008553B1" w14:paraId="5D32F5AE" w14:textId="77777777" w:rsidTr="00635ADF">
        <w:trPr>
          <w:tblHeader/>
        </w:trPr>
        <w:tc>
          <w:tcPr>
            <w:tcW w:w="589" w:type="pc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C042" w14:textId="77777777" w:rsidR="00C75D4F" w:rsidRPr="008553B1" w:rsidRDefault="00C75D4F" w:rsidP="00635A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553B1">
              <w:rPr>
                <w:rFonts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81" w:type="pc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90C6" w14:textId="77777777" w:rsidR="00C75D4F" w:rsidRPr="008553B1" w:rsidRDefault="00C75D4F" w:rsidP="00635A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553B1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681" w:type="pc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CBE1" w14:textId="77777777" w:rsidR="00C75D4F" w:rsidRPr="008553B1" w:rsidRDefault="00C75D4F" w:rsidP="00635A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553B1">
              <w:rPr>
                <w:rFonts w:cstheme="minorHAnsi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335" w:type="pc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4950" w14:textId="77777777" w:rsidR="00C75D4F" w:rsidRPr="008553B1" w:rsidRDefault="00C75D4F" w:rsidP="00635A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553B1">
              <w:rPr>
                <w:rFonts w:cstheme="minorHAnsi"/>
                <w:b/>
                <w:bCs/>
                <w:sz w:val="20"/>
                <w:szCs w:val="20"/>
              </w:rPr>
              <w:t>Session Lead</w:t>
            </w:r>
          </w:p>
        </w:tc>
        <w:tc>
          <w:tcPr>
            <w:tcW w:w="1014" w:type="pct"/>
            <w:shd w:val="clear" w:color="auto" w:fill="B4C6E7" w:themeFill="accent1" w:themeFillTint="66"/>
          </w:tcPr>
          <w:p w14:paraId="193D3BFC" w14:textId="77777777" w:rsidR="00C75D4F" w:rsidRPr="008553B1" w:rsidRDefault="00C75D4F" w:rsidP="00635A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553B1">
              <w:rPr>
                <w:rFonts w:cstheme="minorHAnsi"/>
                <w:b/>
                <w:bCs/>
                <w:sz w:val="20"/>
                <w:szCs w:val="20"/>
              </w:rPr>
              <w:t>Chair/Timekeeper</w:t>
            </w:r>
          </w:p>
        </w:tc>
      </w:tr>
      <w:tr w:rsidR="006863A4" w:rsidRPr="008553B1" w14:paraId="65BF3F30" w14:textId="77777777" w:rsidTr="00F2509F">
        <w:trPr>
          <w:trHeight w:val="313"/>
        </w:trPr>
        <w:tc>
          <w:tcPr>
            <w:tcW w:w="589" w:type="pct"/>
            <w:vMerge w:val="restar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0AD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Tue</w:t>
            </w:r>
            <w:r w:rsidR="00A13333" w:rsidRPr="008553B1">
              <w:rPr>
                <w:rFonts w:cstheme="minorHAnsi"/>
                <w:b/>
                <w:sz w:val="20"/>
                <w:szCs w:val="20"/>
              </w:rPr>
              <w:t>sday</w:t>
            </w:r>
            <w:r w:rsidRPr="008553B1">
              <w:rPr>
                <w:rFonts w:cstheme="minorHAnsi"/>
                <w:b/>
                <w:sz w:val="20"/>
                <w:szCs w:val="20"/>
              </w:rPr>
              <w:t xml:space="preserve"> September</w:t>
            </w:r>
            <w:r w:rsidR="00A13333" w:rsidRPr="008553B1">
              <w:rPr>
                <w:rFonts w:cstheme="minorHAnsi"/>
                <w:b/>
                <w:sz w:val="20"/>
                <w:szCs w:val="20"/>
              </w:rPr>
              <w:t xml:space="preserve"> 24</w:t>
            </w:r>
          </w:p>
          <w:p w14:paraId="5A9408BB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E418" w14:textId="77777777" w:rsidR="006863A4" w:rsidRPr="008553B1" w:rsidRDefault="00A2302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08</w:t>
            </w:r>
            <w:r w:rsidR="006863A4" w:rsidRPr="008553B1">
              <w:rPr>
                <w:rFonts w:cstheme="minorHAnsi"/>
                <w:sz w:val="20"/>
                <w:szCs w:val="20"/>
              </w:rPr>
              <w:t>30-</w:t>
            </w:r>
          </w:p>
          <w:p w14:paraId="6E7E57B7" w14:textId="77777777" w:rsidR="006863A4" w:rsidRPr="008553B1" w:rsidRDefault="00A2302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</w:t>
            </w:r>
            <w:r w:rsidR="006863A4" w:rsidRPr="008553B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F000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Registration and coffee</w:t>
            </w:r>
          </w:p>
        </w:tc>
      </w:tr>
      <w:tr w:rsidR="006863A4" w:rsidRPr="008553B1" w14:paraId="3DB7D7AF" w14:textId="77777777" w:rsidTr="00635ADF">
        <w:trPr>
          <w:trHeight w:val="408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F2C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63B6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0900-</w:t>
            </w:r>
          </w:p>
          <w:p w14:paraId="5D52DF3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0910</w:t>
            </w:r>
          </w:p>
          <w:p w14:paraId="4F49E6E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2BC10C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0910-</w:t>
            </w:r>
          </w:p>
          <w:p w14:paraId="6699CBB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0920</w:t>
            </w:r>
          </w:p>
          <w:p w14:paraId="3529FE7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139E7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0920-</w:t>
            </w:r>
          </w:p>
          <w:p w14:paraId="36B29AB6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0930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1866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Welcome</w:t>
            </w:r>
          </w:p>
          <w:p w14:paraId="2242EA8E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2D19D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4EED2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Opening remarks and introduction to the meeting </w:t>
            </w:r>
          </w:p>
          <w:p w14:paraId="148AE49B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70BA8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B03A3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Special Remarks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F94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Priscilla Idele (Director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a.i.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UNICEF Innocenti)</w:t>
            </w:r>
          </w:p>
          <w:p w14:paraId="3F86A8DC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08C801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Maud de Boer Buquicchio (Special Rapporteur)</w:t>
            </w:r>
          </w:p>
          <w:p w14:paraId="67ED9E29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D975E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8C945B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Paulo Sergio Pinheiro (UN Independent Commission on Syria)</w:t>
            </w:r>
          </w:p>
          <w:p w14:paraId="62242971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056D1B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Ramya Subrahmanian (UNICEF Innocenti)</w:t>
            </w:r>
          </w:p>
        </w:tc>
      </w:tr>
      <w:tr w:rsidR="006863A4" w:rsidRPr="008553B1" w14:paraId="6D03E1CD" w14:textId="77777777" w:rsidTr="00635ADF">
        <w:trPr>
          <w:trHeight w:val="394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20A0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81F9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0930-</w:t>
            </w:r>
          </w:p>
          <w:p w14:paraId="55E12438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1030 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4E5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1</w:t>
            </w:r>
            <w:r w:rsidRPr="008553B1">
              <w:rPr>
                <w:rFonts w:cstheme="minorHAnsi"/>
                <w:sz w:val="20"/>
                <w:szCs w:val="20"/>
              </w:rPr>
              <w:t xml:space="preserve"> - Awareness and attitudes underpinning the sale and sexual exploitation of children</w:t>
            </w:r>
          </w:p>
          <w:p w14:paraId="19C60D58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AE5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Mia Dambach (ISS)</w:t>
            </w:r>
          </w:p>
          <w:p w14:paraId="74FF942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E46841" w14:textId="77777777" w:rsidR="006863A4" w:rsidRPr="008553B1" w:rsidRDefault="0032350D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Dyonne Pennings</w:t>
            </w:r>
            <w:r w:rsidR="006863A4" w:rsidRPr="008553B1">
              <w:rPr>
                <w:rFonts w:cstheme="minorHAnsi"/>
                <w:sz w:val="20"/>
                <w:szCs w:val="20"/>
              </w:rPr>
              <w:t xml:space="preserve"> (T</w:t>
            </w:r>
            <w:r w:rsidR="008F08E3" w:rsidRPr="008553B1">
              <w:rPr>
                <w:rFonts w:cstheme="minorHAnsi"/>
                <w:sz w:val="20"/>
                <w:szCs w:val="20"/>
              </w:rPr>
              <w:t xml:space="preserve">erre </w:t>
            </w:r>
            <w:r w:rsidR="006863A4" w:rsidRPr="008553B1">
              <w:rPr>
                <w:rFonts w:cstheme="minorHAnsi"/>
                <w:sz w:val="20"/>
                <w:szCs w:val="20"/>
              </w:rPr>
              <w:t>d</w:t>
            </w:r>
            <w:r w:rsidR="008F08E3" w:rsidRPr="008553B1">
              <w:rPr>
                <w:rFonts w:cstheme="minorHAnsi"/>
                <w:sz w:val="20"/>
                <w:szCs w:val="20"/>
              </w:rPr>
              <w:t xml:space="preserve">es </w:t>
            </w:r>
            <w:r w:rsidR="006863A4" w:rsidRPr="008553B1">
              <w:rPr>
                <w:rFonts w:cstheme="minorHAnsi"/>
                <w:sz w:val="20"/>
                <w:szCs w:val="20"/>
              </w:rPr>
              <w:t>H</w:t>
            </w:r>
            <w:r w:rsidR="008F08E3" w:rsidRPr="008553B1">
              <w:rPr>
                <w:rFonts w:cstheme="minorHAnsi"/>
                <w:sz w:val="20"/>
                <w:szCs w:val="20"/>
              </w:rPr>
              <w:t>ommes</w:t>
            </w:r>
            <w:r w:rsidR="003261A8" w:rsidRPr="008553B1">
              <w:rPr>
                <w:rFonts w:cstheme="minorHAnsi"/>
                <w:sz w:val="20"/>
                <w:szCs w:val="20"/>
              </w:rPr>
              <w:t>,</w:t>
            </w:r>
            <w:r w:rsidR="008F08E3" w:rsidRPr="008553B1">
              <w:rPr>
                <w:rFonts w:cstheme="minorHAnsi"/>
                <w:sz w:val="20"/>
                <w:szCs w:val="20"/>
              </w:rPr>
              <w:t xml:space="preserve"> The Netherlands</w:t>
            </w:r>
            <w:r w:rsidR="006863A4"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54803A49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48F6F5" w14:textId="77777777" w:rsidR="00EB611A" w:rsidRPr="008553B1" w:rsidRDefault="00EB611A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Dorothea Czarnecki (ECPAT </w:t>
            </w:r>
            <w:r w:rsidR="00153F3F" w:rsidRPr="008553B1">
              <w:rPr>
                <w:rFonts w:cstheme="minorHAnsi"/>
                <w:sz w:val="20"/>
                <w:szCs w:val="20"/>
              </w:rPr>
              <w:t>Germany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4836F92F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0002544C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Nigel Cantwell </w:t>
            </w:r>
          </w:p>
          <w:p w14:paraId="7468A160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(Independent)</w:t>
            </w:r>
          </w:p>
        </w:tc>
      </w:tr>
      <w:tr w:rsidR="006863A4" w:rsidRPr="008553B1" w14:paraId="5971E534" w14:textId="77777777" w:rsidTr="00F2509F">
        <w:trPr>
          <w:trHeight w:val="384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5BE6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6C1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1030-</w:t>
            </w:r>
          </w:p>
          <w:p w14:paraId="09D34031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541F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Coffee break</w:t>
            </w:r>
          </w:p>
        </w:tc>
      </w:tr>
      <w:tr w:rsidR="006863A4" w:rsidRPr="008553B1" w14:paraId="6C41AEA5" w14:textId="77777777" w:rsidTr="00635ADF">
        <w:trPr>
          <w:trHeight w:val="988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E1B9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23E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1100-</w:t>
            </w:r>
          </w:p>
          <w:p w14:paraId="4A509A34" w14:textId="77777777" w:rsidR="006863A4" w:rsidRPr="008553B1" w:rsidRDefault="008970F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1230</w:t>
            </w:r>
            <w:r w:rsidR="006863A4" w:rsidRPr="008553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AC33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2</w:t>
            </w:r>
            <w:r w:rsidRPr="008553B1">
              <w:rPr>
                <w:rFonts w:cstheme="minorHAnsi"/>
                <w:sz w:val="20"/>
                <w:szCs w:val="20"/>
              </w:rPr>
              <w:t xml:space="preserve"> - States’ jurisdiction and institutional accountability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E084" w14:textId="77777777" w:rsidR="006863A4" w:rsidRPr="008553B1" w:rsidRDefault="004B61B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Paulo Sergio Pinheiro (UN Independent Commission on Syria)</w:t>
            </w:r>
          </w:p>
          <w:p w14:paraId="28DC0670" w14:textId="77777777" w:rsidR="004B61B7" w:rsidRPr="008553B1" w:rsidRDefault="004B61B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EFD267" w14:textId="77777777" w:rsidR="004B61B7" w:rsidRPr="008553B1" w:rsidRDefault="004B61B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Dato’ Noor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Aziah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(</w:t>
            </w:r>
            <w:r w:rsidR="001B4C07" w:rsidRPr="008553B1">
              <w:rPr>
                <w:rFonts w:cstheme="minorHAnsi"/>
                <w:sz w:val="20"/>
                <w:szCs w:val="20"/>
              </w:rPr>
              <w:t>Human Rights Commission of Malaysia, SUHAKAM)</w:t>
            </w:r>
          </w:p>
          <w:p w14:paraId="5A67797B" w14:textId="77777777" w:rsidR="004B61B7" w:rsidRPr="008553B1" w:rsidRDefault="004B61B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AC4923" w14:textId="77777777" w:rsidR="004B61B7" w:rsidRPr="008553B1" w:rsidRDefault="004B61B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Musa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Mahmodi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(</w:t>
            </w:r>
            <w:r w:rsidR="004A6CA7" w:rsidRPr="008553B1">
              <w:rPr>
                <w:rFonts w:cstheme="minorHAnsi"/>
                <w:sz w:val="20"/>
                <w:szCs w:val="20"/>
              </w:rPr>
              <w:t>Lawyer, f</w:t>
            </w:r>
            <w:r w:rsidR="00D16E28" w:rsidRPr="008553B1">
              <w:rPr>
                <w:rFonts w:cstheme="minorHAnsi"/>
                <w:sz w:val="20"/>
                <w:szCs w:val="20"/>
              </w:rPr>
              <w:t xml:space="preserve">ormerly </w:t>
            </w:r>
            <w:r w:rsidRPr="008553B1">
              <w:rPr>
                <w:rFonts w:cstheme="minorHAnsi"/>
                <w:sz w:val="20"/>
                <w:szCs w:val="20"/>
              </w:rPr>
              <w:t xml:space="preserve">Afghanistan Independent Human Rights </w:t>
            </w:r>
            <w:r w:rsidRPr="008553B1">
              <w:rPr>
                <w:rFonts w:cstheme="minorHAnsi"/>
                <w:sz w:val="20"/>
                <w:szCs w:val="20"/>
              </w:rPr>
              <w:lastRenderedPageBreak/>
              <w:t>Commission, AIHRC)</w:t>
            </w:r>
          </w:p>
          <w:p w14:paraId="427E9B4E" w14:textId="77777777" w:rsidR="006C5937" w:rsidRPr="008553B1" w:rsidRDefault="006C5937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0E18E62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lastRenderedPageBreak/>
              <w:t>Vanessa Sedletzki (Independent)</w:t>
            </w:r>
          </w:p>
        </w:tc>
      </w:tr>
      <w:tr w:rsidR="006863A4" w:rsidRPr="008553B1" w14:paraId="7D181A42" w14:textId="77777777" w:rsidTr="00635ADF">
        <w:trPr>
          <w:trHeight w:val="376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  <w:hideMark/>
          </w:tcPr>
          <w:p w14:paraId="2ED5D94B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D4B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</w:t>
            </w:r>
            <w:r w:rsidR="008970F8" w:rsidRPr="008553B1">
              <w:rPr>
                <w:rFonts w:cstheme="minorHAnsi"/>
                <w:sz w:val="20"/>
                <w:szCs w:val="20"/>
              </w:rPr>
              <w:t>230</w:t>
            </w:r>
            <w:r w:rsidRPr="008553B1">
              <w:rPr>
                <w:rFonts w:cstheme="minorHAnsi"/>
                <w:sz w:val="20"/>
                <w:szCs w:val="20"/>
              </w:rPr>
              <w:t>-1</w:t>
            </w:r>
            <w:r w:rsidR="00842F12" w:rsidRPr="008553B1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vAlign w:val="center"/>
          </w:tcPr>
          <w:p w14:paraId="10D6020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 xml:space="preserve"> Lunch</w:t>
            </w:r>
          </w:p>
        </w:tc>
      </w:tr>
      <w:tr w:rsidR="006863A4" w:rsidRPr="008553B1" w14:paraId="157B8370" w14:textId="77777777" w:rsidTr="00635ADF">
        <w:trPr>
          <w:trHeight w:val="332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20B448C5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6B88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</w:t>
            </w:r>
            <w:r w:rsidR="00842F12" w:rsidRPr="008553B1">
              <w:rPr>
                <w:rFonts w:cstheme="minorHAnsi"/>
                <w:sz w:val="20"/>
                <w:szCs w:val="20"/>
              </w:rPr>
              <w:t>345</w:t>
            </w:r>
            <w:r w:rsidRPr="008553B1">
              <w:rPr>
                <w:rFonts w:cstheme="minorHAnsi"/>
                <w:sz w:val="20"/>
                <w:szCs w:val="20"/>
              </w:rPr>
              <w:t>-1445</w:t>
            </w:r>
          </w:p>
        </w:tc>
        <w:tc>
          <w:tcPr>
            <w:tcW w:w="1681" w:type="pct"/>
            <w:shd w:val="clear" w:color="auto" w:fill="auto"/>
          </w:tcPr>
          <w:p w14:paraId="3E222290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3</w:t>
            </w:r>
            <w:r w:rsidRPr="008553B1">
              <w:rPr>
                <w:rFonts w:cstheme="minorHAnsi"/>
                <w:sz w:val="20"/>
                <w:szCs w:val="20"/>
              </w:rPr>
              <w:t xml:space="preserve"> - Legal frameworks to protect children from sale and sexual exploitation 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C63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Jaap E. Doek (</w:t>
            </w:r>
            <w:r w:rsidR="00304EA6" w:rsidRPr="008553B1">
              <w:rPr>
                <w:rFonts w:cstheme="minorHAnsi"/>
                <w:sz w:val="20"/>
                <w:szCs w:val="20"/>
              </w:rPr>
              <w:t>ECPAT International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6C849533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5CBD57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Susanna Greijer (</w:t>
            </w:r>
            <w:r w:rsidR="00CC3050" w:rsidRPr="008553B1">
              <w:rPr>
                <w:rFonts w:cstheme="minorHAnsi"/>
                <w:sz w:val="20"/>
                <w:szCs w:val="20"/>
              </w:rPr>
              <w:t>Independent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41D8772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86067D1" w14:textId="77777777" w:rsidR="006863A4" w:rsidRPr="008553B1" w:rsidRDefault="00DE31A6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Maud de Boer Buquicchio (Special Rapporteur)</w:t>
            </w:r>
          </w:p>
        </w:tc>
      </w:tr>
      <w:tr w:rsidR="006863A4" w:rsidRPr="008553B1" w14:paraId="4C48D95D" w14:textId="77777777" w:rsidTr="00635ADF">
        <w:trPr>
          <w:trHeight w:val="332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3E6E103E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E8F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1445-1615 </w:t>
            </w:r>
          </w:p>
        </w:tc>
        <w:tc>
          <w:tcPr>
            <w:tcW w:w="1681" w:type="pct"/>
            <w:shd w:val="clear" w:color="auto" w:fill="auto"/>
          </w:tcPr>
          <w:p w14:paraId="7003791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4</w:t>
            </w:r>
            <w:r w:rsidRPr="008553B1">
              <w:rPr>
                <w:rFonts w:cstheme="minorHAnsi"/>
                <w:sz w:val="20"/>
                <w:szCs w:val="20"/>
              </w:rPr>
              <w:t xml:space="preserve"> - Root causes</w:t>
            </w:r>
            <w:r w:rsidR="00C63009" w:rsidRPr="008553B1">
              <w:rPr>
                <w:rFonts w:cstheme="minorHAnsi"/>
                <w:sz w:val="20"/>
                <w:szCs w:val="20"/>
              </w:rPr>
              <w:t xml:space="preserve">, demand factors and </w:t>
            </w:r>
            <w:r w:rsidRPr="008553B1">
              <w:rPr>
                <w:rFonts w:cstheme="minorHAnsi"/>
                <w:sz w:val="20"/>
                <w:szCs w:val="20"/>
              </w:rPr>
              <w:t>children’s vulnerability to sale and sexual exploitation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3383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Rebeca Rios-Kohn (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Arigatou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International)</w:t>
            </w:r>
          </w:p>
          <w:p w14:paraId="49A70AAC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513969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Milena Grillo Rivera (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Fundacion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Paniamor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4F142B37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CAAE0D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Shihoko Fujiwara (Lighthouse)</w:t>
            </w:r>
          </w:p>
          <w:p w14:paraId="21841718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6376BC8C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Benoit Van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Keirsblick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80A97" w:rsidRPr="008553B1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="00A80A97" w:rsidRPr="008553B1">
              <w:rPr>
                <w:rFonts w:cstheme="minorHAnsi"/>
                <w:sz w:val="20"/>
                <w:szCs w:val="20"/>
              </w:rPr>
              <w:t xml:space="preserve"> for </w:t>
            </w:r>
            <w:r w:rsidR="004A6CA7" w:rsidRPr="008553B1">
              <w:rPr>
                <w:rFonts w:cstheme="minorHAnsi"/>
                <w:sz w:val="20"/>
                <w:szCs w:val="20"/>
              </w:rPr>
              <w:t>C</w:t>
            </w:r>
            <w:r w:rsidR="00A80A97" w:rsidRPr="008553B1">
              <w:rPr>
                <w:rFonts w:cstheme="minorHAnsi"/>
                <w:sz w:val="20"/>
                <w:szCs w:val="20"/>
              </w:rPr>
              <w:t xml:space="preserve">hildren </w:t>
            </w:r>
            <w:r w:rsidR="004A6CA7" w:rsidRPr="008553B1">
              <w:rPr>
                <w:rFonts w:cstheme="minorHAnsi"/>
                <w:sz w:val="20"/>
                <w:szCs w:val="20"/>
              </w:rPr>
              <w:t>I</w:t>
            </w:r>
            <w:r w:rsidR="00A80A97" w:rsidRPr="008553B1">
              <w:rPr>
                <w:rFonts w:cstheme="minorHAnsi"/>
                <w:sz w:val="20"/>
                <w:szCs w:val="20"/>
              </w:rPr>
              <w:t>nternational Belgium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5D2C35F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1F9FF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863A4" w:rsidRPr="008553B1" w14:paraId="4BB7D597" w14:textId="77777777" w:rsidTr="00635ADF">
        <w:trPr>
          <w:trHeight w:val="338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21C7B0AF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F2A2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1615-1645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vAlign w:val="center"/>
          </w:tcPr>
          <w:p w14:paraId="0555E827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Coffee break</w:t>
            </w:r>
            <w:r w:rsidR="000E5137" w:rsidRPr="008553B1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r w:rsidR="00700F18" w:rsidRPr="008553B1">
              <w:rPr>
                <w:rFonts w:cstheme="minorHAnsi"/>
                <w:i/>
                <w:sz w:val="20"/>
                <w:szCs w:val="20"/>
              </w:rPr>
              <w:t>Group Photo</w:t>
            </w:r>
          </w:p>
        </w:tc>
      </w:tr>
      <w:tr w:rsidR="006863A4" w:rsidRPr="008553B1" w14:paraId="08553FFA" w14:textId="77777777" w:rsidTr="00635ADF">
        <w:trPr>
          <w:trHeight w:val="338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6689EF40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4B95" w14:textId="77777777" w:rsidR="006863A4" w:rsidRPr="008553B1" w:rsidRDefault="00D96A8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164</w:t>
            </w:r>
            <w:r w:rsidR="006863A4" w:rsidRPr="008553B1">
              <w:rPr>
                <w:rFonts w:cstheme="minorHAnsi"/>
                <w:sz w:val="20"/>
                <w:szCs w:val="20"/>
              </w:rPr>
              <w:t>5-18</w:t>
            </w:r>
            <w:r w:rsidR="00D219FA" w:rsidRPr="008553B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81" w:type="pct"/>
            <w:shd w:val="clear" w:color="auto" w:fill="auto"/>
          </w:tcPr>
          <w:p w14:paraId="70DC6B18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 xml:space="preserve">SESSION </w:t>
            </w:r>
            <w:r w:rsidR="0047167B" w:rsidRPr="008553B1">
              <w:rPr>
                <w:rFonts w:cstheme="minorHAnsi"/>
                <w:b/>
                <w:sz w:val="20"/>
                <w:szCs w:val="20"/>
              </w:rPr>
              <w:t>5</w:t>
            </w:r>
            <w:r w:rsidRPr="008553B1">
              <w:rPr>
                <w:rFonts w:cstheme="minorHAnsi"/>
                <w:sz w:val="20"/>
                <w:szCs w:val="20"/>
              </w:rPr>
              <w:t xml:space="preserve"> - Strengthening child protection systems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5AFF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Daja Wenke (Independent)</w:t>
            </w:r>
          </w:p>
          <w:p w14:paraId="0F80DC67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94273E" w14:textId="77777777" w:rsidR="006863A4" w:rsidRPr="008553B1" w:rsidRDefault="00B607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S</w:t>
            </w:r>
            <w:r w:rsidR="006863A4" w:rsidRPr="008553B1">
              <w:rPr>
                <w:rFonts w:cstheme="minorHAnsi"/>
                <w:sz w:val="20"/>
                <w:szCs w:val="20"/>
              </w:rPr>
              <w:t>tephen Blight (UNICEF NYHQ) (via Skype)</w:t>
            </w:r>
          </w:p>
          <w:p w14:paraId="17B26ED6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3352BE24" w14:textId="77777777" w:rsidR="006863A4" w:rsidRPr="008553B1" w:rsidRDefault="008F08E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553B1">
              <w:rPr>
                <w:rFonts w:cstheme="minorHAnsi"/>
                <w:sz w:val="20"/>
                <w:szCs w:val="20"/>
              </w:rPr>
              <w:t>Mánus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</w:t>
            </w:r>
            <w:r w:rsidR="006863A4" w:rsidRPr="008553B1">
              <w:rPr>
                <w:rFonts w:cstheme="minorHAnsi"/>
                <w:sz w:val="20"/>
                <w:szCs w:val="20"/>
              </w:rPr>
              <w:t>de Barra (SRSG VAC)</w:t>
            </w:r>
          </w:p>
        </w:tc>
      </w:tr>
      <w:tr w:rsidR="006863A4" w:rsidRPr="008553B1" w14:paraId="22149934" w14:textId="77777777" w:rsidTr="00635ADF">
        <w:trPr>
          <w:trHeight w:val="332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49840594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DB9A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1830-2000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vAlign w:val="center"/>
          </w:tcPr>
          <w:p w14:paraId="15B37ECF" w14:textId="77777777" w:rsidR="006863A4" w:rsidRPr="008553B1" w:rsidRDefault="006863A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 xml:space="preserve">Aperitivo at </w:t>
            </w:r>
            <w:proofErr w:type="spellStart"/>
            <w:r w:rsidRPr="008553B1">
              <w:rPr>
                <w:rFonts w:cstheme="minorHAnsi"/>
                <w:i/>
                <w:sz w:val="20"/>
                <w:szCs w:val="20"/>
              </w:rPr>
              <w:t>Caffé</w:t>
            </w:r>
            <w:proofErr w:type="spellEnd"/>
            <w:r w:rsidRPr="008553B1">
              <w:rPr>
                <w:rFonts w:cstheme="minorHAnsi"/>
                <w:i/>
                <w:sz w:val="20"/>
                <w:szCs w:val="20"/>
              </w:rPr>
              <w:t xml:space="preserve"> del </w:t>
            </w:r>
            <w:proofErr w:type="spellStart"/>
            <w:r w:rsidRPr="008553B1">
              <w:rPr>
                <w:rFonts w:cstheme="minorHAnsi"/>
                <w:i/>
                <w:sz w:val="20"/>
                <w:szCs w:val="20"/>
              </w:rPr>
              <w:t>Verone</w:t>
            </w:r>
            <w:proofErr w:type="spellEnd"/>
            <w:r w:rsidRPr="008553B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00F18" w:rsidRPr="008553B1">
              <w:rPr>
                <w:rFonts w:cstheme="minorHAnsi"/>
                <w:i/>
                <w:sz w:val="20"/>
                <w:szCs w:val="20"/>
              </w:rPr>
              <w:t xml:space="preserve">for meeting participants </w:t>
            </w:r>
            <w:r w:rsidRPr="008553B1">
              <w:rPr>
                <w:rFonts w:cstheme="minorHAnsi"/>
                <w:i/>
                <w:sz w:val="20"/>
                <w:szCs w:val="20"/>
              </w:rPr>
              <w:t xml:space="preserve">hosted by UNICEF </w:t>
            </w:r>
            <w:r w:rsidR="003571C2" w:rsidRPr="008553B1">
              <w:rPr>
                <w:rFonts w:cstheme="minorHAnsi"/>
                <w:i/>
                <w:sz w:val="20"/>
                <w:szCs w:val="20"/>
              </w:rPr>
              <w:t xml:space="preserve">Office of Research - </w:t>
            </w:r>
            <w:r w:rsidRPr="008553B1">
              <w:rPr>
                <w:rFonts w:cstheme="minorHAnsi"/>
                <w:i/>
                <w:sz w:val="20"/>
                <w:szCs w:val="20"/>
              </w:rPr>
              <w:t>Innocenti</w:t>
            </w:r>
          </w:p>
        </w:tc>
      </w:tr>
      <w:tr w:rsidR="008B4EB8" w:rsidRPr="008553B1" w14:paraId="1AE32901" w14:textId="77777777" w:rsidTr="00635ADF">
        <w:trPr>
          <w:trHeight w:val="503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6BE" w14:textId="77777777" w:rsidR="008B4EB8" w:rsidRPr="008553B1" w:rsidRDefault="008B4EB8" w:rsidP="00635ADF">
            <w:pPr>
              <w:spacing w:before="240" w:line="240" w:lineRule="auto"/>
              <w:rPr>
                <w:rFonts w:cstheme="minorHAnsi"/>
                <w:i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End of Day One</w:t>
            </w:r>
          </w:p>
        </w:tc>
      </w:tr>
      <w:tr w:rsidR="008B4EB8" w:rsidRPr="008553B1" w14:paraId="0552ADD2" w14:textId="77777777" w:rsidTr="00F3587C">
        <w:trPr>
          <w:trHeight w:val="273"/>
        </w:trPr>
        <w:tc>
          <w:tcPr>
            <w:tcW w:w="589" w:type="pct"/>
            <w:vMerge w:val="restart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C4C3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553B1">
              <w:rPr>
                <w:rFonts w:cstheme="minorHAnsi"/>
                <w:b/>
                <w:sz w:val="20"/>
                <w:szCs w:val="20"/>
              </w:rPr>
              <w:t>Wed</w:t>
            </w:r>
            <w:r w:rsidR="00700F18" w:rsidRPr="008553B1">
              <w:rPr>
                <w:rFonts w:cstheme="minorHAnsi"/>
                <w:b/>
                <w:sz w:val="20"/>
                <w:szCs w:val="20"/>
              </w:rPr>
              <w:t>nesday</w:t>
            </w:r>
            <w:r w:rsidRPr="008553B1">
              <w:rPr>
                <w:rFonts w:cstheme="minorHAnsi"/>
                <w:b/>
                <w:sz w:val="20"/>
                <w:szCs w:val="20"/>
              </w:rPr>
              <w:t xml:space="preserve">  September</w:t>
            </w:r>
            <w:proofErr w:type="gramEnd"/>
            <w:r w:rsidR="00700F18" w:rsidRPr="008553B1">
              <w:rPr>
                <w:rFonts w:cstheme="minorHAnsi"/>
                <w:b/>
                <w:sz w:val="20"/>
                <w:szCs w:val="20"/>
              </w:rPr>
              <w:t xml:space="preserve"> 25</w:t>
            </w:r>
            <w:r w:rsidRPr="008553B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2590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0830-0900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CC0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Coffee</w:t>
            </w:r>
          </w:p>
        </w:tc>
      </w:tr>
      <w:tr w:rsidR="008B4EB8" w:rsidRPr="008553B1" w14:paraId="68F8C57D" w14:textId="77777777" w:rsidTr="00635ADF">
        <w:trPr>
          <w:trHeight w:val="728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1360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2BA8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0900-</w:t>
            </w:r>
          </w:p>
          <w:p w14:paraId="0B76A773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1000  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8AF7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6</w:t>
            </w:r>
            <w:r w:rsidRPr="008553B1">
              <w:rPr>
                <w:rFonts w:cstheme="minorHAnsi"/>
                <w:sz w:val="20"/>
                <w:szCs w:val="20"/>
              </w:rPr>
              <w:t xml:space="preserve"> - </w:t>
            </w:r>
            <w:r w:rsidR="007D33CD" w:rsidRPr="008553B1">
              <w:rPr>
                <w:rFonts w:cstheme="minorHAnsi"/>
                <w:sz w:val="20"/>
                <w:szCs w:val="20"/>
              </w:rPr>
              <w:t>Spotlight</w:t>
            </w:r>
            <w:r w:rsidRPr="008553B1">
              <w:rPr>
                <w:rFonts w:cstheme="minorHAnsi"/>
                <w:sz w:val="20"/>
                <w:szCs w:val="20"/>
              </w:rPr>
              <w:t>: Sport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1BA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Dorothy Rozga (Centre for Sports and Human Rights)</w:t>
            </w:r>
          </w:p>
        </w:tc>
        <w:tc>
          <w:tcPr>
            <w:tcW w:w="1014" w:type="pct"/>
          </w:tcPr>
          <w:p w14:paraId="31244537" w14:textId="77777777" w:rsidR="00D6736D" w:rsidRPr="008553B1" w:rsidRDefault="00D6736D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Susan Bissell (Independent)</w:t>
            </w:r>
          </w:p>
          <w:p w14:paraId="57801D81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EB8" w:rsidRPr="008553B1" w14:paraId="52EF007B" w14:textId="77777777" w:rsidTr="00635ADF">
        <w:trPr>
          <w:trHeight w:val="467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2E45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C916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1000-</w:t>
            </w:r>
          </w:p>
          <w:p w14:paraId="6AC3176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1130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808B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7</w:t>
            </w:r>
            <w:r w:rsidRPr="008553B1">
              <w:rPr>
                <w:rFonts w:cstheme="minorHAnsi"/>
                <w:sz w:val="20"/>
                <w:szCs w:val="20"/>
              </w:rPr>
              <w:t xml:space="preserve"> – </w:t>
            </w:r>
            <w:r w:rsidR="007D33CD" w:rsidRPr="008553B1">
              <w:rPr>
                <w:rFonts w:cstheme="minorHAnsi"/>
                <w:sz w:val="20"/>
                <w:szCs w:val="20"/>
              </w:rPr>
              <w:t>Spotlight</w:t>
            </w:r>
            <w:r w:rsidRPr="008553B1">
              <w:rPr>
                <w:rFonts w:cstheme="minorHAnsi"/>
                <w:sz w:val="20"/>
                <w:szCs w:val="20"/>
              </w:rPr>
              <w:t xml:space="preserve">: </w:t>
            </w:r>
            <w:r w:rsidR="00584B29" w:rsidRPr="008553B1">
              <w:rPr>
                <w:rFonts w:cstheme="minorHAnsi"/>
                <w:sz w:val="20"/>
                <w:szCs w:val="20"/>
              </w:rPr>
              <w:t xml:space="preserve">Digital </w:t>
            </w:r>
            <w:r w:rsidRPr="008553B1">
              <w:rPr>
                <w:rFonts w:cstheme="minorHAnsi"/>
                <w:sz w:val="20"/>
                <w:szCs w:val="20"/>
              </w:rPr>
              <w:t>Technology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4D6E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Ernesto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Caffo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(</w:t>
            </w:r>
            <w:r w:rsidR="00657698" w:rsidRPr="008553B1">
              <w:rPr>
                <w:rFonts w:cstheme="minorHAnsi"/>
                <w:sz w:val="20"/>
                <w:szCs w:val="20"/>
              </w:rPr>
              <w:t xml:space="preserve">SOS </w:t>
            </w:r>
            <w:r w:rsidR="007A2679" w:rsidRPr="008553B1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Telefono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Azzurro) </w:t>
            </w:r>
          </w:p>
          <w:p w14:paraId="58CD553E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4C1505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Carla Licciardello (ITU)</w:t>
            </w:r>
          </w:p>
          <w:p w14:paraId="79CF576D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59DF0B" w14:textId="77777777" w:rsidR="009F1D8C" w:rsidRPr="008553B1" w:rsidRDefault="009F1D8C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Litcy Kurisinkal (Independent)</w:t>
            </w:r>
          </w:p>
          <w:p w14:paraId="6CCE78F1" w14:textId="77777777" w:rsidR="009F1D8C" w:rsidRPr="008553B1" w:rsidRDefault="009F1D8C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02AE7C" w14:textId="77777777" w:rsidR="00693AF3" w:rsidRPr="008553B1" w:rsidRDefault="00693AF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Nina Vaaranen-Valkonen (Save the Children)</w:t>
            </w:r>
          </w:p>
          <w:p w14:paraId="29ECAB7B" w14:textId="77777777" w:rsidR="00693AF3" w:rsidRPr="008553B1" w:rsidRDefault="00693AF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77B5EC1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Daniel Kardefelt-Winther (UNICEF Innocenti)</w:t>
            </w:r>
          </w:p>
        </w:tc>
      </w:tr>
      <w:tr w:rsidR="008B4EB8" w:rsidRPr="008553B1" w14:paraId="71C009C7" w14:textId="77777777" w:rsidTr="00F3587C">
        <w:trPr>
          <w:trHeight w:val="467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5DF4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295E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1130-</w:t>
            </w:r>
          </w:p>
          <w:p w14:paraId="7D3EB8D0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F035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Coffee break</w:t>
            </w:r>
          </w:p>
        </w:tc>
      </w:tr>
      <w:tr w:rsidR="008B4EB8" w:rsidRPr="008553B1" w14:paraId="6B66DE01" w14:textId="77777777" w:rsidTr="00635ADF">
        <w:trPr>
          <w:trHeight w:val="467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000A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7D71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1200-</w:t>
            </w:r>
          </w:p>
          <w:p w14:paraId="26530AA1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8D44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8</w:t>
            </w:r>
            <w:r w:rsidRPr="008553B1">
              <w:rPr>
                <w:rFonts w:cstheme="minorHAnsi"/>
                <w:sz w:val="20"/>
                <w:szCs w:val="20"/>
              </w:rPr>
              <w:t xml:space="preserve"> – </w:t>
            </w:r>
            <w:r w:rsidR="007D33CD" w:rsidRPr="008553B1">
              <w:rPr>
                <w:rFonts w:cstheme="minorHAnsi"/>
                <w:sz w:val="20"/>
                <w:szCs w:val="20"/>
              </w:rPr>
              <w:t>Spotlight</w:t>
            </w:r>
            <w:r w:rsidRPr="008553B1">
              <w:rPr>
                <w:rFonts w:cstheme="minorHAnsi"/>
                <w:sz w:val="20"/>
                <w:szCs w:val="20"/>
              </w:rPr>
              <w:t>: Migration and forced labour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4E2E" w14:textId="77777777" w:rsidR="00705911" w:rsidRPr="008553B1" w:rsidRDefault="00705911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Jacqueline Bhabha (</w:t>
            </w:r>
            <w:r w:rsidR="008F08E3" w:rsidRPr="008553B1">
              <w:rPr>
                <w:rFonts w:cstheme="minorHAnsi"/>
                <w:sz w:val="20"/>
                <w:szCs w:val="20"/>
              </w:rPr>
              <w:t>Harvard T.H. Chan School of Public Health</w:t>
            </w:r>
            <w:r w:rsidRPr="008553B1">
              <w:rPr>
                <w:rFonts w:cstheme="minorHAnsi"/>
                <w:sz w:val="20"/>
                <w:szCs w:val="20"/>
              </w:rPr>
              <w:t>) (via Skype)</w:t>
            </w:r>
          </w:p>
          <w:p w14:paraId="237F2ACE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99F07C" w14:textId="77777777" w:rsidR="009F1D8C" w:rsidRPr="008553B1" w:rsidRDefault="009F1D8C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lastRenderedPageBreak/>
              <w:t>Susan Bissell (Independent)</w:t>
            </w:r>
          </w:p>
          <w:p w14:paraId="0CABA21C" w14:textId="77777777" w:rsidR="00A0333B" w:rsidRPr="008553B1" w:rsidRDefault="00A0333B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76D694" w14:textId="77777777" w:rsidR="00A0333B" w:rsidRPr="008553B1" w:rsidRDefault="008F08E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553B1">
              <w:rPr>
                <w:rFonts w:cstheme="minorHAnsi"/>
                <w:sz w:val="20"/>
                <w:szCs w:val="20"/>
              </w:rPr>
              <w:t>Héléna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</w:t>
            </w:r>
            <w:r w:rsidR="00A0333B" w:rsidRPr="008553B1">
              <w:rPr>
                <w:rFonts w:cstheme="minorHAnsi"/>
                <w:sz w:val="20"/>
                <w:szCs w:val="20"/>
              </w:rPr>
              <w:t>Behr (UNHCR</w:t>
            </w:r>
            <w:r w:rsidR="004B6687" w:rsidRPr="008553B1">
              <w:rPr>
                <w:rFonts w:cstheme="minorHAnsi"/>
                <w:sz w:val="20"/>
                <w:szCs w:val="20"/>
              </w:rPr>
              <w:t xml:space="preserve"> </w:t>
            </w:r>
            <w:r w:rsidR="006C5937" w:rsidRPr="008553B1">
              <w:rPr>
                <w:rFonts w:cstheme="minorHAnsi"/>
                <w:sz w:val="20"/>
                <w:szCs w:val="20"/>
              </w:rPr>
              <w:t>Regional Office for Southern Europe</w:t>
            </w:r>
            <w:r w:rsidR="00A0333B"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7D12AD66" w14:textId="77777777" w:rsidR="009F1D8C" w:rsidRPr="008553B1" w:rsidRDefault="009F1D8C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09326C1" w14:textId="77777777" w:rsidR="002B4252" w:rsidRPr="008553B1" w:rsidRDefault="002B4252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lastRenderedPageBreak/>
              <w:t>Tetiana Rudenko (OSCE)</w:t>
            </w:r>
          </w:p>
          <w:p w14:paraId="384287F7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EB8" w:rsidRPr="008553B1" w14:paraId="26A1F291" w14:textId="77777777" w:rsidTr="00635ADF">
        <w:trPr>
          <w:trHeight w:val="305"/>
        </w:trPr>
        <w:tc>
          <w:tcPr>
            <w:tcW w:w="589" w:type="pct"/>
            <w:vMerge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ACF2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9F00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1300-</w:t>
            </w:r>
          </w:p>
          <w:p w14:paraId="0C3289B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1400 </w:t>
            </w:r>
          </w:p>
        </w:tc>
        <w:tc>
          <w:tcPr>
            <w:tcW w:w="4030" w:type="pct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B6C2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 xml:space="preserve">Lunch </w:t>
            </w:r>
          </w:p>
        </w:tc>
      </w:tr>
      <w:tr w:rsidR="008B4EB8" w:rsidRPr="008553B1" w14:paraId="3DEB6638" w14:textId="77777777" w:rsidTr="00635ADF">
        <w:trPr>
          <w:trHeight w:val="530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2DE36018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5423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1400-</w:t>
            </w:r>
          </w:p>
          <w:p w14:paraId="66AA66E7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1530</w:t>
            </w:r>
          </w:p>
        </w:tc>
        <w:tc>
          <w:tcPr>
            <w:tcW w:w="1681" w:type="pct"/>
            <w:shd w:val="clear" w:color="auto" w:fill="auto"/>
          </w:tcPr>
          <w:p w14:paraId="323AA1DB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SESSION 9</w:t>
            </w:r>
            <w:r w:rsidRPr="008553B1">
              <w:rPr>
                <w:rFonts w:cstheme="minorHAnsi"/>
                <w:sz w:val="20"/>
                <w:szCs w:val="20"/>
              </w:rPr>
              <w:t xml:space="preserve"> - Evidence </w:t>
            </w:r>
            <w:r w:rsidR="00E455E9" w:rsidRPr="008553B1">
              <w:rPr>
                <w:rFonts w:cstheme="minorHAnsi"/>
                <w:sz w:val="20"/>
                <w:szCs w:val="20"/>
              </w:rPr>
              <w:t>to inform</w:t>
            </w:r>
            <w:r w:rsidRPr="008553B1">
              <w:rPr>
                <w:rFonts w:cstheme="minorHAnsi"/>
                <w:sz w:val="20"/>
                <w:szCs w:val="20"/>
              </w:rPr>
              <w:t xml:space="preserve"> effective prevention and response strategies 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24A8" w14:textId="77777777" w:rsidR="009A7D4F" w:rsidRPr="008553B1" w:rsidRDefault="009A7D4F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Claudia Cappa (UNICEF</w:t>
            </w:r>
            <w:r w:rsidR="008F08E3" w:rsidRPr="008553B1">
              <w:rPr>
                <w:rFonts w:cstheme="minorHAnsi"/>
                <w:sz w:val="20"/>
                <w:szCs w:val="20"/>
              </w:rPr>
              <w:t xml:space="preserve"> NYHQ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  <w:r w:rsidR="008F08E3" w:rsidRPr="008553B1">
              <w:rPr>
                <w:rFonts w:cstheme="minorHAnsi"/>
                <w:sz w:val="20"/>
                <w:szCs w:val="20"/>
              </w:rPr>
              <w:t xml:space="preserve"> (via Skype)</w:t>
            </w:r>
          </w:p>
          <w:p w14:paraId="196AE932" w14:textId="77777777" w:rsidR="009A7D4F" w:rsidRPr="008553B1" w:rsidRDefault="009A7D4F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80E46D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Yvonne Rafferty (P</w:t>
            </w:r>
            <w:r w:rsidR="00080D76" w:rsidRPr="008553B1">
              <w:rPr>
                <w:rFonts w:cstheme="minorHAnsi"/>
                <w:sz w:val="20"/>
                <w:szCs w:val="20"/>
              </w:rPr>
              <w:t>ace</w:t>
            </w:r>
            <w:r w:rsidRPr="008553B1">
              <w:rPr>
                <w:rFonts w:cstheme="minorHAnsi"/>
                <w:sz w:val="20"/>
                <w:szCs w:val="20"/>
              </w:rPr>
              <w:t xml:space="preserve"> University)</w:t>
            </w:r>
          </w:p>
          <w:p w14:paraId="2CC80B75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6C4386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Benjamin Smith (ILO)</w:t>
            </w:r>
          </w:p>
          <w:p w14:paraId="0167321E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FA527B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Patricia Hynes (University of Bedfordshire) </w:t>
            </w:r>
          </w:p>
        </w:tc>
        <w:tc>
          <w:tcPr>
            <w:tcW w:w="1014" w:type="pct"/>
          </w:tcPr>
          <w:p w14:paraId="143B319F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Ramya Subrahmanian (UNICEF Innocenti)</w:t>
            </w:r>
          </w:p>
        </w:tc>
      </w:tr>
      <w:tr w:rsidR="008B4EB8" w:rsidRPr="008553B1" w14:paraId="6A5A2E79" w14:textId="77777777" w:rsidTr="00635ADF">
        <w:trPr>
          <w:trHeight w:val="1979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</w:tcPr>
          <w:p w14:paraId="0ABD5AC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FF88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1530-</w:t>
            </w:r>
          </w:p>
          <w:p w14:paraId="4767B975" w14:textId="77777777" w:rsidR="008B4EB8" w:rsidRPr="008553B1" w:rsidRDefault="00A2302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1645</w:t>
            </w:r>
          </w:p>
        </w:tc>
        <w:tc>
          <w:tcPr>
            <w:tcW w:w="1681" w:type="pct"/>
            <w:shd w:val="clear" w:color="auto" w:fill="auto"/>
          </w:tcPr>
          <w:p w14:paraId="7142880E" w14:textId="77777777" w:rsidR="008B4EB8" w:rsidRPr="008553B1" w:rsidRDefault="008F08E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b/>
                <w:sz w:val="20"/>
                <w:szCs w:val="20"/>
              </w:rPr>
              <w:t>S</w:t>
            </w:r>
            <w:r w:rsidR="008B4EB8" w:rsidRPr="008553B1">
              <w:rPr>
                <w:rFonts w:cstheme="minorHAnsi"/>
                <w:b/>
                <w:sz w:val="20"/>
                <w:szCs w:val="20"/>
              </w:rPr>
              <w:t>ESSION 10</w:t>
            </w:r>
            <w:r w:rsidR="008B4EB8" w:rsidRPr="008553B1">
              <w:rPr>
                <w:rFonts w:cstheme="minorHAnsi"/>
                <w:sz w:val="20"/>
                <w:szCs w:val="20"/>
              </w:rPr>
              <w:t xml:space="preserve"> - The way forward: future priorities, gaps, emerging areas and recommended working methods for the mandate of the UNSR on SSEC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7706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Alexandre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Hohagen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Nobox</w:t>
            </w:r>
            <w:proofErr w:type="spellEnd"/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2F64F76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74C6B2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Ann-Kristin Vervik (ECPAT</w:t>
            </w:r>
            <w:r w:rsidR="00080D76" w:rsidRPr="008553B1">
              <w:rPr>
                <w:rFonts w:cstheme="minorHAnsi"/>
                <w:sz w:val="20"/>
                <w:szCs w:val="20"/>
              </w:rPr>
              <w:t xml:space="preserve"> Norway</w:t>
            </w:r>
            <w:r w:rsidRPr="008553B1">
              <w:rPr>
                <w:rFonts w:cstheme="minorHAnsi"/>
                <w:sz w:val="20"/>
                <w:szCs w:val="20"/>
              </w:rPr>
              <w:t>)</w:t>
            </w:r>
          </w:p>
          <w:p w14:paraId="4DF77A0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1200F7" w14:textId="77777777" w:rsidR="008E40C6" w:rsidRPr="008553B1" w:rsidRDefault="008E40C6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Bridget Arimond (North</w:t>
            </w:r>
            <w:r w:rsidR="00A13333" w:rsidRPr="008553B1">
              <w:rPr>
                <w:rFonts w:cstheme="minorHAnsi"/>
                <w:sz w:val="20"/>
                <w:szCs w:val="20"/>
              </w:rPr>
              <w:t>western University)</w:t>
            </w:r>
          </w:p>
          <w:p w14:paraId="0FBBDF12" w14:textId="77777777" w:rsidR="00A13333" w:rsidRPr="008553B1" w:rsidRDefault="00A1333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697920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Catherine Maternowska (GPEVAC)</w:t>
            </w:r>
          </w:p>
          <w:p w14:paraId="2A589452" w14:textId="77777777" w:rsidR="0047167B" w:rsidRPr="008553B1" w:rsidRDefault="0047167B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3EE382" w14:textId="77777777" w:rsidR="0047167B" w:rsidRPr="008553B1" w:rsidRDefault="008F08E3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Paulo Sergio Pinheiro (UN Independent Commission on Syria)</w:t>
            </w:r>
          </w:p>
          <w:p w14:paraId="3EAAC446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838874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 xml:space="preserve">Karim </w:t>
            </w:r>
            <w:proofErr w:type="spellStart"/>
            <w:r w:rsidRPr="008553B1">
              <w:rPr>
                <w:rFonts w:cstheme="minorHAnsi"/>
                <w:sz w:val="20"/>
                <w:szCs w:val="20"/>
              </w:rPr>
              <w:t>Ghezraoui</w:t>
            </w:r>
            <w:proofErr w:type="spellEnd"/>
          </w:p>
          <w:p w14:paraId="6BAB4E97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(OHCHR)</w:t>
            </w:r>
          </w:p>
          <w:p w14:paraId="25F2EAD9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3284133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EB8" w:rsidRPr="008553B1" w14:paraId="2210B27C" w14:textId="77777777" w:rsidTr="00635ADF">
        <w:trPr>
          <w:trHeight w:val="530"/>
        </w:trPr>
        <w:tc>
          <w:tcPr>
            <w:tcW w:w="589" w:type="pct"/>
            <w:vMerge/>
            <w:shd w:val="clear" w:color="auto" w:fill="B4C6E7" w:themeFill="accent1" w:themeFillTint="66"/>
            <w:vAlign w:val="center"/>
            <w:hideMark/>
          </w:tcPr>
          <w:p w14:paraId="20B5B5FF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A989" w14:textId="77777777" w:rsidR="008B4EB8" w:rsidRPr="008553B1" w:rsidRDefault="00A23024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1645</w:t>
            </w:r>
            <w:r w:rsidR="008B4EB8" w:rsidRPr="008553B1">
              <w:rPr>
                <w:rFonts w:cstheme="minorHAnsi"/>
                <w:sz w:val="20"/>
                <w:szCs w:val="20"/>
              </w:rPr>
              <w:t>-</w:t>
            </w:r>
          </w:p>
          <w:p w14:paraId="6B5BEBEC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1700</w:t>
            </w:r>
          </w:p>
        </w:tc>
        <w:tc>
          <w:tcPr>
            <w:tcW w:w="1681" w:type="pct"/>
            <w:shd w:val="clear" w:color="auto" w:fill="auto"/>
          </w:tcPr>
          <w:p w14:paraId="4076A004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Closing remarks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86DB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3B1">
              <w:rPr>
                <w:rFonts w:cstheme="minorHAnsi"/>
                <w:sz w:val="20"/>
                <w:szCs w:val="20"/>
              </w:rPr>
              <w:t>Maud de Boer Buquicchio (Special Rapporteur)</w:t>
            </w:r>
          </w:p>
          <w:p w14:paraId="7D734B62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9E2F3" w:themeFill="accent1" w:themeFillTint="33"/>
          </w:tcPr>
          <w:p w14:paraId="4B1FE7E9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EB8" w:rsidRPr="008553B1" w14:paraId="7B016CDB" w14:textId="77777777" w:rsidTr="00635ADF">
        <w:trPr>
          <w:trHeight w:val="53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59BF48B" w14:textId="77777777" w:rsidR="008B4EB8" w:rsidRPr="008553B1" w:rsidRDefault="008B4EB8" w:rsidP="00635AD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8553B1">
              <w:rPr>
                <w:rFonts w:cstheme="minorHAnsi"/>
                <w:i/>
                <w:sz w:val="20"/>
                <w:szCs w:val="20"/>
              </w:rPr>
              <w:t>End of Meeting</w:t>
            </w:r>
          </w:p>
        </w:tc>
      </w:tr>
    </w:tbl>
    <w:p w14:paraId="00BA1136" w14:textId="77777777" w:rsidR="00AC0885" w:rsidRPr="008553B1" w:rsidRDefault="00AC0885" w:rsidP="006A6A0B">
      <w:pPr>
        <w:spacing w:after="0" w:line="240" w:lineRule="auto"/>
        <w:rPr>
          <w:rFonts w:cstheme="minorHAnsi"/>
        </w:rPr>
      </w:pPr>
    </w:p>
    <w:sectPr w:rsidR="00AC0885" w:rsidRPr="008553B1" w:rsidSect="00F369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3D13" w14:textId="77777777" w:rsidR="00961950" w:rsidRDefault="00961950" w:rsidP="009E3C3C">
      <w:pPr>
        <w:spacing w:after="0" w:line="240" w:lineRule="auto"/>
      </w:pPr>
      <w:r>
        <w:separator/>
      </w:r>
    </w:p>
  </w:endnote>
  <w:endnote w:type="continuationSeparator" w:id="0">
    <w:p w14:paraId="59C32870" w14:textId="77777777" w:rsidR="00961950" w:rsidRDefault="00961950" w:rsidP="009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ＭＳ ゴシック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33933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027E34A6" w14:textId="77777777" w:rsidR="00433CBC" w:rsidRPr="00366734" w:rsidRDefault="00433CBC">
        <w:pPr>
          <w:pStyle w:val="Footer"/>
          <w:jc w:val="center"/>
          <w:rPr>
            <w:rFonts w:cstheme="minorHAnsi"/>
          </w:rPr>
        </w:pPr>
        <w:r w:rsidRPr="00366734">
          <w:rPr>
            <w:rFonts w:cstheme="minorHAnsi"/>
          </w:rPr>
          <w:fldChar w:fldCharType="begin"/>
        </w:r>
        <w:r w:rsidRPr="00366734">
          <w:rPr>
            <w:rFonts w:cstheme="minorHAnsi"/>
          </w:rPr>
          <w:instrText xml:space="preserve"> PAGE   \* MERGEFORMAT </w:instrText>
        </w:r>
        <w:r w:rsidRPr="00366734">
          <w:rPr>
            <w:rFonts w:cstheme="minorHAnsi"/>
          </w:rPr>
          <w:fldChar w:fldCharType="separate"/>
        </w:r>
        <w:r w:rsidR="00B42D00" w:rsidRPr="00366734">
          <w:rPr>
            <w:rFonts w:cstheme="minorHAnsi"/>
            <w:noProof/>
          </w:rPr>
          <w:t>1</w:t>
        </w:r>
        <w:r w:rsidRPr="00366734">
          <w:rPr>
            <w:rFonts w:cstheme="minorHAnsi"/>
            <w:noProof/>
          </w:rPr>
          <w:fldChar w:fldCharType="end"/>
        </w:r>
      </w:p>
    </w:sdtContent>
  </w:sdt>
  <w:p w14:paraId="3EB669B2" w14:textId="77777777" w:rsidR="00433CBC" w:rsidRPr="005F230D" w:rsidRDefault="00433CB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F622" w14:textId="77777777" w:rsidR="00961950" w:rsidRDefault="00961950" w:rsidP="009E3C3C">
      <w:pPr>
        <w:spacing w:after="0" w:line="240" w:lineRule="auto"/>
      </w:pPr>
      <w:r>
        <w:separator/>
      </w:r>
    </w:p>
  </w:footnote>
  <w:footnote w:type="continuationSeparator" w:id="0">
    <w:p w14:paraId="206DF40B" w14:textId="77777777" w:rsidR="00961950" w:rsidRDefault="00961950" w:rsidP="009E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BB7"/>
    <w:multiLevelType w:val="hybridMultilevel"/>
    <w:tmpl w:val="F848A25A"/>
    <w:lvl w:ilvl="0" w:tplc="055E4D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288"/>
    <w:multiLevelType w:val="hybridMultilevel"/>
    <w:tmpl w:val="594C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4B37"/>
    <w:multiLevelType w:val="hybridMultilevel"/>
    <w:tmpl w:val="60C0FC1E"/>
    <w:lvl w:ilvl="0" w:tplc="7E86688E">
      <w:start w:val="1"/>
      <w:numFmt w:val="bullet"/>
      <w:lvlText w:val=""/>
      <w:lvlJc w:val="left"/>
      <w:pPr>
        <w:ind w:left="48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864"/>
    <w:rsid w:val="00010159"/>
    <w:rsid w:val="00012F90"/>
    <w:rsid w:val="0001665A"/>
    <w:rsid w:val="00080D76"/>
    <w:rsid w:val="00081808"/>
    <w:rsid w:val="000831F1"/>
    <w:rsid w:val="00083F03"/>
    <w:rsid w:val="00097A42"/>
    <w:rsid w:val="000B070F"/>
    <w:rsid w:val="000B5F61"/>
    <w:rsid w:val="000B6745"/>
    <w:rsid w:val="000C1C5D"/>
    <w:rsid w:val="000C4813"/>
    <w:rsid w:val="000D368F"/>
    <w:rsid w:val="000D5703"/>
    <w:rsid w:val="000E2E51"/>
    <w:rsid w:val="000E5137"/>
    <w:rsid w:val="00106631"/>
    <w:rsid w:val="001144B3"/>
    <w:rsid w:val="00135898"/>
    <w:rsid w:val="00146F08"/>
    <w:rsid w:val="00150F76"/>
    <w:rsid w:val="00153F3F"/>
    <w:rsid w:val="00181388"/>
    <w:rsid w:val="00195AB1"/>
    <w:rsid w:val="00197795"/>
    <w:rsid w:val="001A0672"/>
    <w:rsid w:val="001A12D4"/>
    <w:rsid w:val="001A3765"/>
    <w:rsid w:val="001B4C07"/>
    <w:rsid w:val="001F1FFC"/>
    <w:rsid w:val="002009F7"/>
    <w:rsid w:val="00254DEA"/>
    <w:rsid w:val="00267581"/>
    <w:rsid w:val="00271087"/>
    <w:rsid w:val="002711E3"/>
    <w:rsid w:val="002853BF"/>
    <w:rsid w:val="002A37B9"/>
    <w:rsid w:val="002B4252"/>
    <w:rsid w:val="002B6B33"/>
    <w:rsid w:val="002D1149"/>
    <w:rsid w:val="002D1A87"/>
    <w:rsid w:val="002E4988"/>
    <w:rsid w:val="00303A26"/>
    <w:rsid w:val="00304EA6"/>
    <w:rsid w:val="0031102C"/>
    <w:rsid w:val="003134D7"/>
    <w:rsid w:val="0032350D"/>
    <w:rsid w:val="003261A8"/>
    <w:rsid w:val="00326372"/>
    <w:rsid w:val="003442F6"/>
    <w:rsid w:val="003571C2"/>
    <w:rsid w:val="003632DD"/>
    <w:rsid w:val="00366734"/>
    <w:rsid w:val="00374E90"/>
    <w:rsid w:val="003808DA"/>
    <w:rsid w:val="0039000B"/>
    <w:rsid w:val="003A5F65"/>
    <w:rsid w:val="003B32BF"/>
    <w:rsid w:val="003C147C"/>
    <w:rsid w:val="003D3D69"/>
    <w:rsid w:val="003D410E"/>
    <w:rsid w:val="003D5B79"/>
    <w:rsid w:val="003E10CD"/>
    <w:rsid w:val="0041751C"/>
    <w:rsid w:val="00433CBC"/>
    <w:rsid w:val="00440AEB"/>
    <w:rsid w:val="004506B2"/>
    <w:rsid w:val="00452526"/>
    <w:rsid w:val="0046349A"/>
    <w:rsid w:val="0047167B"/>
    <w:rsid w:val="00494AA9"/>
    <w:rsid w:val="0049533D"/>
    <w:rsid w:val="004A6CA7"/>
    <w:rsid w:val="004B61B7"/>
    <w:rsid w:val="004B6687"/>
    <w:rsid w:val="004B7952"/>
    <w:rsid w:val="004C009B"/>
    <w:rsid w:val="004D4F34"/>
    <w:rsid w:val="004E4191"/>
    <w:rsid w:val="00504E16"/>
    <w:rsid w:val="00513535"/>
    <w:rsid w:val="00527202"/>
    <w:rsid w:val="005366BF"/>
    <w:rsid w:val="00584B29"/>
    <w:rsid w:val="0059445C"/>
    <w:rsid w:val="005A7543"/>
    <w:rsid w:val="005C245C"/>
    <w:rsid w:val="005D327A"/>
    <w:rsid w:val="005D5603"/>
    <w:rsid w:val="005F230D"/>
    <w:rsid w:val="006037AF"/>
    <w:rsid w:val="00631956"/>
    <w:rsid w:val="006356E0"/>
    <w:rsid w:val="00635ADF"/>
    <w:rsid w:val="00637FC3"/>
    <w:rsid w:val="00653BFC"/>
    <w:rsid w:val="00657698"/>
    <w:rsid w:val="00675492"/>
    <w:rsid w:val="006863A4"/>
    <w:rsid w:val="00693AF3"/>
    <w:rsid w:val="006A6A0B"/>
    <w:rsid w:val="006C0949"/>
    <w:rsid w:val="006C5937"/>
    <w:rsid w:val="006E1836"/>
    <w:rsid w:val="006E70D2"/>
    <w:rsid w:val="006E72A2"/>
    <w:rsid w:val="006F4795"/>
    <w:rsid w:val="00700F18"/>
    <w:rsid w:val="00705911"/>
    <w:rsid w:val="00750254"/>
    <w:rsid w:val="0076724B"/>
    <w:rsid w:val="00777BCE"/>
    <w:rsid w:val="007849F0"/>
    <w:rsid w:val="007864EE"/>
    <w:rsid w:val="0079195A"/>
    <w:rsid w:val="007A2679"/>
    <w:rsid w:val="007B7469"/>
    <w:rsid w:val="007C35A6"/>
    <w:rsid w:val="007C3C04"/>
    <w:rsid w:val="007C6790"/>
    <w:rsid w:val="007D33CD"/>
    <w:rsid w:val="007E1B72"/>
    <w:rsid w:val="00816CA9"/>
    <w:rsid w:val="00820879"/>
    <w:rsid w:val="008249FF"/>
    <w:rsid w:val="008257F2"/>
    <w:rsid w:val="00831056"/>
    <w:rsid w:val="008367D4"/>
    <w:rsid w:val="00842F12"/>
    <w:rsid w:val="008553B1"/>
    <w:rsid w:val="00874F18"/>
    <w:rsid w:val="00886C2A"/>
    <w:rsid w:val="008970F8"/>
    <w:rsid w:val="00897B26"/>
    <w:rsid w:val="008B4EB8"/>
    <w:rsid w:val="008D1A71"/>
    <w:rsid w:val="008E0DF5"/>
    <w:rsid w:val="008E40C6"/>
    <w:rsid w:val="008F08E3"/>
    <w:rsid w:val="008F2CDA"/>
    <w:rsid w:val="009146DF"/>
    <w:rsid w:val="00936EAB"/>
    <w:rsid w:val="00943674"/>
    <w:rsid w:val="0096175D"/>
    <w:rsid w:val="00961950"/>
    <w:rsid w:val="009810E4"/>
    <w:rsid w:val="00992872"/>
    <w:rsid w:val="009A6146"/>
    <w:rsid w:val="009A7D4F"/>
    <w:rsid w:val="009B5DB9"/>
    <w:rsid w:val="009C6556"/>
    <w:rsid w:val="009C7182"/>
    <w:rsid w:val="009D6802"/>
    <w:rsid w:val="009E3C3C"/>
    <w:rsid w:val="009F1D8C"/>
    <w:rsid w:val="00A0333B"/>
    <w:rsid w:val="00A07AB2"/>
    <w:rsid w:val="00A13333"/>
    <w:rsid w:val="00A23024"/>
    <w:rsid w:val="00A30387"/>
    <w:rsid w:val="00A52D6D"/>
    <w:rsid w:val="00A56F11"/>
    <w:rsid w:val="00A80A97"/>
    <w:rsid w:val="00AA086C"/>
    <w:rsid w:val="00AA23EF"/>
    <w:rsid w:val="00AC0885"/>
    <w:rsid w:val="00AD2C76"/>
    <w:rsid w:val="00AF1CD2"/>
    <w:rsid w:val="00B04BC6"/>
    <w:rsid w:val="00B10693"/>
    <w:rsid w:val="00B12908"/>
    <w:rsid w:val="00B221D4"/>
    <w:rsid w:val="00B42D00"/>
    <w:rsid w:val="00B607B8"/>
    <w:rsid w:val="00B84004"/>
    <w:rsid w:val="00BA4B70"/>
    <w:rsid w:val="00BB3CE7"/>
    <w:rsid w:val="00BB4A61"/>
    <w:rsid w:val="00BC2DC0"/>
    <w:rsid w:val="00BE1048"/>
    <w:rsid w:val="00BF5A88"/>
    <w:rsid w:val="00BF79E8"/>
    <w:rsid w:val="00C06DB5"/>
    <w:rsid w:val="00C10874"/>
    <w:rsid w:val="00C11F0D"/>
    <w:rsid w:val="00C14261"/>
    <w:rsid w:val="00C14444"/>
    <w:rsid w:val="00C205EE"/>
    <w:rsid w:val="00C210FD"/>
    <w:rsid w:val="00C32F8F"/>
    <w:rsid w:val="00C36864"/>
    <w:rsid w:val="00C4422C"/>
    <w:rsid w:val="00C63009"/>
    <w:rsid w:val="00C6539A"/>
    <w:rsid w:val="00C70FCB"/>
    <w:rsid w:val="00C75D4F"/>
    <w:rsid w:val="00C81E4D"/>
    <w:rsid w:val="00C955A9"/>
    <w:rsid w:val="00CC3050"/>
    <w:rsid w:val="00CC5E97"/>
    <w:rsid w:val="00CD5FE6"/>
    <w:rsid w:val="00CE2FF4"/>
    <w:rsid w:val="00CF4DFC"/>
    <w:rsid w:val="00D0290A"/>
    <w:rsid w:val="00D16E28"/>
    <w:rsid w:val="00D219FA"/>
    <w:rsid w:val="00D22A26"/>
    <w:rsid w:val="00D40428"/>
    <w:rsid w:val="00D6736D"/>
    <w:rsid w:val="00D70307"/>
    <w:rsid w:val="00D96A84"/>
    <w:rsid w:val="00DA26F2"/>
    <w:rsid w:val="00DB68C5"/>
    <w:rsid w:val="00DC5B93"/>
    <w:rsid w:val="00DC60F6"/>
    <w:rsid w:val="00DE31A6"/>
    <w:rsid w:val="00DF3D93"/>
    <w:rsid w:val="00DF482C"/>
    <w:rsid w:val="00E455E9"/>
    <w:rsid w:val="00E52B8C"/>
    <w:rsid w:val="00E813BA"/>
    <w:rsid w:val="00E83C63"/>
    <w:rsid w:val="00E855D4"/>
    <w:rsid w:val="00E8684E"/>
    <w:rsid w:val="00E9155C"/>
    <w:rsid w:val="00EB611A"/>
    <w:rsid w:val="00ED7B42"/>
    <w:rsid w:val="00EF5088"/>
    <w:rsid w:val="00F20544"/>
    <w:rsid w:val="00F23841"/>
    <w:rsid w:val="00F2509F"/>
    <w:rsid w:val="00F3587C"/>
    <w:rsid w:val="00F36965"/>
    <w:rsid w:val="00F659D5"/>
    <w:rsid w:val="00F8350A"/>
    <w:rsid w:val="00F838AB"/>
    <w:rsid w:val="00F97F1B"/>
    <w:rsid w:val="00FA5F74"/>
    <w:rsid w:val="00FD2B6D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0640B"/>
  <w15:docId w15:val="{917751F6-C61D-4F08-9BC4-160D07E1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3C"/>
  </w:style>
  <w:style w:type="paragraph" w:styleId="Footer">
    <w:name w:val="footer"/>
    <w:basedOn w:val="Normal"/>
    <w:link w:val="FooterChar"/>
    <w:uiPriority w:val="99"/>
    <w:unhideWhenUsed/>
    <w:rsid w:val="009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3C"/>
  </w:style>
  <w:style w:type="paragraph" w:styleId="BalloonText">
    <w:name w:val="Balloon Text"/>
    <w:basedOn w:val="Normal"/>
    <w:link w:val="BalloonTextChar"/>
    <w:uiPriority w:val="99"/>
    <w:semiHidden/>
    <w:unhideWhenUsed/>
    <w:rsid w:val="004634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Rocca</dc:creator>
  <cp:keywords/>
  <dc:description/>
  <cp:lastModifiedBy>Angie Lee</cp:lastModifiedBy>
  <cp:revision>2</cp:revision>
  <cp:lastPrinted>2019-09-09T11:53:00Z</cp:lastPrinted>
  <dcterms:created xsi:type="dcterms:W3CDTF">2019-09-23T12:59:00Z</dcterms:created>
  <dcterms:modified xsi:type="dcterms:W3CDTF">2019-09-23T12:59:00Z</dcterms:modified>
</cp:coreProperties>
</file>